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0" w:rsidRDefault="004B1E40" w:rsidP="00161B16">
      <w:pPr>
        <w:ind w:right="74"/>
        <w:jc w:val="center"/>
        <w:rPr>
          <w:rFonts w:ascii="Argumentum" w:hAnsi="Argumentum" w:cs="Argumentum"/>
          <w:sz w:val="40"/>
          <w:szCs w:val="40"/>
        </w:rPr>
      </w:pPr>
      <w:r>
        <w:rPr>
          <w:rFonts w:ascii="Argumentum" w:eastAsia="Times New Roman"/>
          <w:sz w:val="40"/>
        </w:rPr>
        <w:t>Grant</w:t>
      </w:r>
      <w:r>
        <w:rPr>
          <w:rFonts w:ascii="Argumentum" w:eastAsia="Times New Roman"/>
          <w:spacing w:val="-17"/>
          <w:sz w:val="40"/>
        </w:rPr>
        <w:t xml:space="preserve"> </w:t>
      </w:r>
      <w:r>
        <w:rPr>
          <w:rFonts w:ascii="Argumentum" w:eastAsia="Times New Roman"/>
          <w:sz w:val="40"/>
        </w:rPr>
        <w:t>Guidelines</w:t>
      </w:r>
    </w:p>
    <w:p w:rsidR="004B1E40" w:rsidRDefault="004B1E40" w:rsidP="00874E7D">
      <w:pPr>
        <w:pStyle w:val="Heading1"/>
        <w:ind w:left="0"/>
        <w:rPr>
          <w:sz w:val="24"/>
        </w:rPr>
      </w:pPr>
    </w:p>
    <w:p w:rsidR="004B1E40" w:rsidRDefault="004B1E40" w:rsidP="00874E7D">
      <w:pPr>
        <w:pStyle w:val="Heading1"/>
        <w:ind w:left="0"/>
        <w:rPr>
          <w:sz w:val="24"/>
        </w:rPr>
      </w:pPr>
      <w:r>
        <w:rPr>
          <w:sz w:val="24"/>
        </w:rPr>
        <w:t>The Anamosa Community Foundation will annually determine and award grants for the betterment of Anamosa and its residents.</w:t>
      </w:r>
    </w:p>
    <w:p w:rsidR="004B1E40" w:rsidRDefault="004B1E40" w:rsidP="00874E7D">
      <w:pPr>
        <w:pStyle w:val="Heading1"/>
        <w:ind w:left="0"/>
      </w:pPr>
    </w:p>
    <w:p w:rsidR="004B1E40" w:rsidRDefault="004B1E40" w:rsidP="00874E7D">
      <w:pPr>
        <w:pStyle w:val="BodyText"/>
        <w:spacing w:line="360" w:lineRule="auto"/>
        <w:ind w:left="0" w:firstLine="0"/>
        <w:rPr>
          <w:sz w:val="31"/>
          <w:szCs w:val="31"/>
        </w:rPr>
      </w:pPr>
      <w:r>
        <w:rPr>
          <w:sz w:val="31"/>
          <w:szCs w:val="31"/>
        </w:rPr>
        <w:t>ACF Funding Priorities:</w:t>
      </w:r>
    </w:p>
    <w:p w:rsidR="004B1E40" w:rsidRDefault="004B1E40" w:rsidP="00874E7D">
      <w:pPr>
        <w:pStyle w:val="BodyText"/>
        <w:numPr>
          <w:ilvl w:val="0"/>
          <w:numId w:val="1"/>
        </w:numPr>
        <w:spacing w:line="360" w:lineRule="auto"/>
        <w:ind w:right="72"/>
      </w:pPr>
      <w:r>
        <w:t xml:space="preserve">Improve economic well-being or quality of life </w:t>
      </w:r>
    </w:p>
    <w:p w:rsidR="004B1E40" w:rsidRDefault="004B1E40" w:rsidP="00874E7D">
      <w:pPr>
        <w:pStyle w:val="BodyText"/>
        <w:numPr>
          <w:ilvl w:val="0"/>
          <w:numId w:val="1"/>
        </w:numPr>
        <w:spacing w:line="360" w:lineRule="auto"/>
        <w:ind w:right="72"/>
      </w:pPr>
      <w:r>
        <w:t xml:space="preserve">Improve educational opportunities </w:t>
      </w:r>
    </w:p>
    <w:p w:rsidR="004B1E40" w:rsidRDefault="004B1E40" w:rsidP="00874E7D">
      <w:pPr>
        <w:pStyle w:val="BodyText"/>
        <w:numPr>
          <w:ilvl w:val="0"/>
          <w:numId w:val="1"/>
        </w:numPr>
        <w:spacing w:line="360" w:lineRule="auto"/>
        <w:ind w:right="72"/>
      </w:pPr>
      <w:r>
        <w:t>Address community capital improvements</w:t>
      </w:r>
    </w:p>
    <w:p w:rsidR="004B1E40" w:rsidRDefault="004B1E40" w:rsidP="00874E7D">
      <w:pPr>
        <w:pStyle w:val="BodyText"/>
        <w:numPr>
          <w:ilvl w:val="0"/>
          <w:numId w:val="1"/>
        </w:numPr>
        <w:spacing w:line="360" w:lineRule="auto"/>
        <w:ind w:right="72"/>
      </w:pPr>
      <w:r>
        <w:t>Maintain and improve the health of its residents</w:t>
      </w:r>
    </w:p>
    <w:p w:rsidR="004B1E40" w:rsidRDefault="004B1E40" w:rsidP="00874E7D">
      <w:pPr>
        <w:pStyle w:val="BodyText"/>
        <w:numPr>
          <w:ilvl w:val="0"/>
          <w:numId w:val="1"/>
        </w:numPr>
        <w:spacing w:line="360" w:lineRule="auto"/>
        <w:ind w:right="72"/>
      </w:pPr>
      <w:r>
        <w:t>Promote tourism and recreation</w:t>
      </w:r>
    </w:p>
    <w:p w:rsidR="004B1E40" w:rsidRDefault="004B1E40" w:rsidP="00874E7D">
      <w:pPr>
        <w:pStyle w:val="Heading1"/>
        <w:ind w:left="0"/>
      </w:pPr>
    </w:p>
    <w:p w:rsidR="004B1E40" w:rsidRDefault="004B1E40" w:rsidP="00874E7D">
      <w:pPr>
        <w:pStyle w:val="Heading1"/>
        <w:ind w:left="0"/>
        <w:rPr>
          <w:b/>
          <w:bCs/>
        </w:rPr>
      </w:pP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?</w:t>
      </w:r>
    </w:p>
    <w:p w:rsidR="004B1E40" w:rsidRDefault="004B1E40" w:rsidP="00874E7D">
      <w:pPr>
        <w:pStyle w:val="BodyText"/>
        <w:ind w:left="0" w:firstLine="0"/>
      </w:pP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und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</w:t>
      </w:r>
      <w:r>
        <w:rPr>
          <w:spacing w:val="1"/>
        </w:rPr>
        <w:t>za</w:t>
      </w:r>
      <w:r>
        <w:t>ti</w:t>
      </w:r>
      <w:r>
        <w:rPr>
          <w:spacing w:val="1"/>
        </w:rPr>
        <w:t>on</w:t>
      </w:r>
      <w:r>
        <w:t>/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us</w:t>
      </w:r>
      <w:r>
        <w:t>t:</w:t>
      </w:r>
    </w:p>
    <w:p w:rsidR="004B1E40" w:rsidRDefault="004B1E40" w:rsidP="00874E7D">
      <w:pPr>
        <w:pStyle w:val="BodyText"/>
        <w:numPr>
          <w:ilvl w:val="0"/>
          <w:numId w:val="2"/>
        </w:numPr>
        <w:tabs>
          <w:tab w:val="left" w:pos="819"/>
        </w:tabs>
        <w:ind w:left="720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Anamosa</w:t>
      </w:r>
    </w:p>
    <w:p w:rsidR="004B1E40" w:rsidRDefault="004B1E40" w:rsidP="00874E7D">
      <w:pPr>
        <w:pStyle w:val="BodyText"/>
        <w:numPr>
          <w:ilvl w:val="0"/>
          <w:numId w:val="2"/>
        </w:numPr>
        <w:tabs>
          <w:tab w:val="left" w:pos="819"/>
        </w:tabs>
        <w:ind w:left="720" w:right="720"/>
        <w:rPr>
          <w:spacing w:val="1"/>
        </w:rPr>
      </w:pPr>
      <w:r>
        <w:rPr>
          <w:spacing w:val="1"/>
        </w:rPr>
        <w:t>Be a Nonprofit 501(c)3, public institution, and/or charitable organization.</w:t>
      </w:r>
    </w:p>
    <w:p w:rsidR="004B1E40" w:rsidRDefault="004B1E40" w:rsidP="00874E7D">
      <w:pPr>
        <w:pStyle w:val="BodyText"/>
        <w:tabs>
          <w:tab w:val="left" w:pos="819"/>
        </w:tabs>
        <w:ind w:left="1080" w:right="720" w:firstLine="0"/>
        <w:rPr>
          <w:spacing w:val="1"/>
        </w:rPr>
      </w:pPr>
      <w:r>
        <w:rPr>
          <w:spacing w:val="1"/>
          <w:sz w:val="22"/>
          <w:szCs w:val="22"/>
        </w:rPr>
        <w:t>For organizations without nonprofit status, partnering with a fiscal sponsor organization will be required</w:t>
      </w:r>
    </w:p>
    <w:p w:rsidR="004B1E40" w:rsidRDefault="004B1E40" w:rsidP="00874E7D">
      <w:pPr>
        <w:pStyle w:val="BodyText"/>
        <w:tabs>
          <w:tab w:val="left" w:pos="819"/>
        </w:tabs>
        <w:rPr>
          <w:spacing w:val="1"/>
        </w:rPr>
      </w:pPr>
    </w:p>
    <w:p w:rsidR="004B1E40" w:rsidRDefault="004B1E40" w:rsidP="00874E7D">
      <w:pPr>
        <w:pStyle w:val="BodyText"/>
        <w:tabs>
          <w:tab w:val="left" w:pos="819"/>
        </w:tabs>
        <w:ind w:left="360" w:firstLine="0"/>
        <w:rPr>
          <w:spacing w:val="1"/>
        </w:rPr>
      </w:pPr>
      <w:r>
        <w:rPr>
          <w:spacing w:val="1"/>
        </w:rPr>
        <w:t>Organization are not generally awarded a grant for two consecutive years.</w:t>
      </w:r>
    </w:p>
    <w:p w:rsidR="004B1E40" w:rsidRDefault="004B1E40" w:rsidP="00874E7D">
      <w:pPr>
        <w:pStyle w:val="BodyText"/>
        <w:tabs>
          <w:tab w:val="left" w:pos="819"/>
        </w:tabs>
        <w:ind w:left="0" w:firstLine="0"/>
        <w:rPr>
          <w:spacing w:val="1"/>
          <w:sz w:val="31"/>
          <w:szCs w:val="31"/>
        </w:rPr>
      </w:pPr>
    </w:p>
    <w:p w:rsidR="004B1E40" w:rsidRDefault="004B1E40" w:rsidP="00874E7D">
      <w:pPr>
        <w:pStyle w:val="BodyText"/>
        <w:tabs>
          <w:tab w:val="left" w:pos="819"/>
        </w:tabs>
        <w:ind w:left="0" w:firstLine="0"/>
        <w:rPr>
          <w:spacing w:val="2"/>
          <w:sz w:val="31"/>
          <w:szCs w:val="31"/>
        </w:rPr>
      </w:pPr>
      <w:r>
        <w:rPr>
          <w:spacing w:val="2"/>
          <w:sz w:val="31"/>
          <w:szCs w:val="31"/>
        </w:rPr>
        <w:t>What we do not fund:</w:t>
      </w:r>
    </w:p>
    <w:p w:rsidR="004B1E40" w:rsidRDefault="004B1E40" w:rsidP="00874E7D">
      <w:pPr>
        <w:pStyle w:val="BodyText"/>
        <w:numPr>
          <w:ilvl w:val="0"/>
          <w:numId w:val="3"/>
        </w:numPr>
        <w:tabs>
          <w:tab w:val="left" w:pos="819"/>
        </w:tabs>
        <w:rPr>
          <w:spacing w:val="1"/>
        </w:rPr>
      </w:pPr>
      <w:r>
        <w:rPr>
          <w:spacing w:val="1"/>
        </w:rPr>
        <w:t>Organizations with a religious affiliation</w:t>
      </w:r>
    </w:p>
    <w:p w:rsidR="004B1E40" w:rsidRDefault="004B1E40" w:rsidP="00874E7D">
      <w:pPr>
        <w:pStyle w:val="BodyText"/>
        <w:numPr>
          <w:ilvl w:val="0"/>
          <w:numId w:val="3"/>
        </w:numPr>
        <w:tabs>
          <w:tab w:val="left" w:pos="819"/>
        </w:tabs>
        <w:rPr>
          <w:spacing w:val="1"/>
        </w:rPr>
      </w:pPr>
      <w:r>
        <w:rPr>
          <w:spacing w:val="1"/>
        </w:rPr>
        <w:t>Organization’s recurring operating expenses (i.e. staffing, building rent)</w:t>
      </w:r>
    </w:p>
    <w:p w:rsidR="004B1E40" w:rsidRDefault="004B1E40" w:rsidP="00874E7D">
      <w:pPr>
        <w:pStyle w:val="BodyText"/>
        <w:numPr>
          <w:ilvl w:val="0"/>
          <w:numId w:val="3"/>
        </w:numPr>
        <w:tabs>
          <w:tab w:val="left" w:pos="819"/>
        </w:tabs>
        <w:rPr>
          <w:spacing w:val="1"/>
        </w:rPr>
      </w:pPr>
      <w:r>
        <w:rPr>
          <w:spacing w:val="1"/>
        </w:rPr>
        <w:t>Multi-year funding requests</w:t>
      </w:r>
    </w:p>
    <w:p w:rsidR="004B1E40" w:rsidRDefault="004B1E40" w:rsidP="00874E7D">
      <w:pPr>
        <w:spacing w:before="14" w:line="240" w:lineRule="exact"/>
        <w:rPr>
          <w:sz w:val="24"/>
          <w:szCs w:val="24"/>
        </w:rPr>
      </w:pPr>
    </w:p>
    <w:p w:rsidR="004B1E40" w:rsidRDefault="004B1E40" w:rsidP="00874E7D">
      <w:pPr>
        <w:pStyle w:val="Heading1"/>
        <w:ind w:left="0" w:right="74"/>
        <w:rPr>
          <w:rFonts w:ascii="Calibri" w:hAnsi="Calibri"/>
          <w:sz w:val="24"/>
          <w:szCs w:val="24"/>
        </w:rPr>
      </w:pPr>
    </w:p>
    <w:p w:rsidR="004B1E40" w:rsidRDefault="004B1E40" w:rsidP="00874E7D">
      <w:pPr>
        <w:pStyle w:val="Heading1"/>
        <w:ind w:left="0" w:right="74"/>
      </w:pPr>
      <w:r>
        <w:t>Guidelines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34"/>
        </w:rPr>
        <w:t xml:space="preserve"> </w:t>
      </w:r>
      <w:r>
        <w:t>Applicants:</w:t>
      </w:r>
    </w:p>
    <w:p w:rsidR="004B1E40" w:rsidRDefault="004B1E40" w:rsidP="00874E7D">
      <w:pPr>
        <w:pStyle w:val="BodyText"/>
        <w:numPr>
          <w:ilvl w:val="0"/>
          <w:numId w:val="4"/>
        </w:numPr>
        <w:tabs>
          <w:tab w:val="left" w:pos="832"/>
        </w:tabs>
      </w:pPr>
      <w:r>
        <w:t>Application for grants must be submitted before August 31 at Midnight.</w:t>
      </w:r>
    </w:p>
    <w:p w:rsidR="004B1E40" w:rsidRDefault="004B1E40" w:rsidP="00874E7D">
      <w:pPr>
        <w:pStyle w:val="BodyText"/>
        <w:numPr>
          <w:ilvl w:val="0"/>
          <w:numId w:val="4"/>
        </w:numPr>
        <w:tabs>
          <w:tab w:val="left" w:pos="832"/>
        </w:tabs>
      </w:pPr>
      <w:r>
        <w:t xml:space="preserve">Grants will be awarded in October. </w:t>
      </w:r>
    </w:p>
    <w:p w:rsidR="004B1E40" w:rsidRDefault="004B1E40" w:rsidP="00874E7D">
      <w:pPr>
        <w:pStyle w:val="BodyText"/>
        <w:numPr>
          <w:ilvl w:val="0"/>
          <w:numId w:val="4"/>
        </w:numPr>
        <w:tabs>
          <w:tab w:val="left" w:pos="832"/>
        </w:tabs>
      </w:pPr>
      <w:r>
        <w:t xml:space="preserve">All projects must be initiated and completed within one year of the grant award. </w:t>
      </w:r>
    </w:p>
    <w:p w:rsidR="004B1E40" w:rsidRDefault="004B1E40" w:rsidP="00874E7D">
      <w:pPr>
        <w:pStyle w:val="Heading1"/>
        <w:ind w:right="74"/>
      </w:pPr>
    </w:p>
    <w:p w:rsidR="004B1E40" w:rsidRDefault="004B1E40"/>
    <w:sectPr w:rsidR="004B1E40" w:rsidSect="0008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gument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E76"/>
    <w:multiLevelType w:val="hybridMultilevel"/>
    <w:tmpl w:val="C59EBC84"/>
    <w:lvl w:ilvl="0" w:tplc="C338ADD8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BD90C18C">
      <w:start w:val="1"/>
      <w:numFmt w:val="bullet"/>
      <w:lvlText w:val="•"/>
      <w:lvlJc w:val="left"/>
      <w:pPr>
        <w:ind w:left="1644" w:hanging="360"/>
      </w:pPr>
    </w:lvl>
    <w:lvl w:ilvl="2" w:tplc="B8867BE2">
      <w:start w:val="1"/>
      <w:numFmt w:val="bullet"/>
      <w:lvlText w:val="•"/>
      <w:lvlJc w:val="left"/>
      <w:pPr>
        <w:ind w:left="2569" w:hanging="360"/>
      </w:pPr>
    </w:lvl>
    <w:lvl w:ilvl="3" w:tplc="FF36702A">
      <w:start w:val="1"/>
      <w:numFmt w:val="bullet"/>
      <w:lvlText w:val="•"/>
      <w:lvlJc w:val="left"/>
      <w:pPr>
        <w:ind w:left="3494" w:hanging="360"/>
      </w:pPr>
    </w:lvl>
    <w:lvl w:ilvl="4" w:tplc="748CA6B0">
      <w:start w:val="1"/>
      <w:numFmt w:val="bullet"/>
      <w:lvlText w:val="•"/>
      <w:lvlJc w:val="left"/>
      <w:pPr>
        <w:ind w:left="4419" w:hanging="360"/>
      </w:pPr>
    </w:lvl>
    <w:lvl w:ilvl="5" w:tplc="41385E2A">
      <w:start w:val="1"/>
      <w:numFmt w:val="bullet"/>
      <w:lvlText w:val="•"/>
      <w:lvlJc w:val="left"/>
      <w:pPr>
        <w:ind w:left="5344" w:hanging="360"/>
      </w:pPr>
    </w:lvl>
    <w:lvl w:ilvl="6" w:tplc="D138D52E">
      <w:start w:val="1"/>
      <w:numFmt w:val="bullet"/>
      <w:lvlText w:val="•"/>
      <w:lvlJc w:val="left"/>
      <w:pPr>
        <w:ind w:left="6268" w:hanging="360"/>
      </w:pPr>
    </w:lvl>
    <w:lvl w:ilvl="7" w:tplc="ED708D08">
      <w:start w:val="1"/>
      <w:numFmt w:val="bullet"/>
      <w:lvlText w:val="•"/>
      <w:lvlJc w:val="left"/>
      <w:pPr>
        <w:ind w:left="7193" w:hanging="360"/>
      </w:pPr>
    </w:lvl>
    <w:lvl w:ilvl="8" w:tplc="098A3486">
      <w:start w:val="1"/>
      <w:numFmt w:val="bullet"/>
      <w:lvlText w:val="•"/>
      <w:lvlJc w:val="left"/>
      <w:pPr>
        <w:ind w:left="8118" w:hanging="360"/>
      </w:pPr>
    </w:lvl>
  </w:abstractNum>
  <w:abstractNum w:abstractNumId="1">
    <w:nsid w:val="1E8B738F"/>
    <w:multiLevelType w:val="hybridMultilevel"/>
    <w:tmpl w:val="D94E0EB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2"/>
        <w:sz w:val="21"/>
      </w:rPr>
    </w:lvl>
    <w:lvl w:ilvl="1" w:tplc="4EBA8FD8">
      <w:start w:val="1"/>
      <w:numFmt w:val="bullet"/>
      <w:lvlText w:val="•"/>
      <w:lvlJc w:val="left"/>
    </w:lvl>
    <w:lvl w:ilvl="2" w:tplc="F15ABE64">
      <w:start w:val="1"/>
      <w:numFmt w:val="bullet"/>
      <w:lvlText w:val="•"/>
      <w:lvlJc w:val="left"/>
    </w:lvl>
    <w:lvl w:ilvl="3" w:tplc="79B809F8">
      <w:start w:val="1"/>
      <w:numFmt w:val="bullet"/>
      <w:lvlText w:val="•"/>
      <w:lvlJc w:val="left"/>
    </w:lvl>
    <w:lvl w:ilvl="4" w:tplc="DF7AE290">
      <w:start w:val="1"/>
      <w:numFmt w:val="bullet"/>
      <w:lvlText w:val="•"/>
      <w:lvlJc w:val="left"/>
    </w:lvl>
    <w:lvl w:ilvl="5" w:tplc="44805604">
      <w:start w:val="1"/>
      <w:numFmt w:val="bullet"/>
      <w:lvlText w:val="•"/>
      <w:lvlJc w:val="left"/>
    </w:lvl>
    <w:lvl w:ilvl="6" w:tplc="446C329A">
      <w:start w:val="1"/>
      <w:numFmt w:val="bullet"/>
      <w:lvlText w:val="•"/>
      <w:lvlJc w:val="left"/>
    </w:lvl>
    <w:lvl w:ilvl="7" w:tplc="C118262E">
      <w:start w:val="1"/>
      <w:numFmt w:val="bullet"/>
      <w:lvlText w:val="•"/>
      <w:lvlJc w:val="left"/>
    </w:lvl>
    <w:lvl w:ilvl="8" w:tplc="2E909BEE">
      <w:start w:val="1"/>
      <w:numFmt w:val="bullet"/>
      <w:lvlText w:val="•"/>
      <w:lvlJc w:val="left"/>
    </w:lvl>
  </w:abstractNum>
  <w:abstractNum w:abstractNumId="2">
    <w:nsid w:val="20A216F5"/>
    <w:multiLevelType w:val="hybridMultilevel"/>
    <w:tmpl w:val="BAB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3AB"/>
    <w:multiLevelType w:val="hybridMultilevel"/>
    <w:tmpl w:val="FB1AA25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6EB55CCF"/>
    <w:multiLevelType w:val="hybridMultilevel"/>
    <w:tmpl w:val="5A16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E7D"/>
    <w:rsid w:val="00086D9E"/>
    <w:rsid w:val="00116FFA"/>
    <w:rsid w:val="00161B16"/>
    <w:rsid w:val="004B1E40"/>
    <w:rsid w:val="00874E7D"/>
    <w:rsid w:val="008A78C8"/>
    <w:rsid w:val="00E7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7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74E7D"/>
    <w:pPr>
      <w:ind w:left="112"/>
      <w:outlineLvl w:val="0"/>
    </w:pPr>
    <w:rPr>
      <w:rFonts w:ascii="Argumentum" w:hAnsi="Argumentum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E7D"/>
    <w:rPr>
      <w:rFonts w:ascii="Argumentum" w:eastAsia="Times New Roman" w:hAnsi="Argumentum" w:cs="Times New Roman"/>
      <w:sz w:val="31"/>
      <w:szCs w:val="31"/>
    </w:rPr>
  </w:style>
  <w:style w:type="character" w:styleId="Hyperlink">
    <w:name w:val="Hyperlink"/>
    <w:basedOn w:val="DefaultParagraphFont"/>
    <w:uiPriority w:val="99"/>
    <w:semiHidden/>
    <w:rsid w:val="00874E7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74E7D"/>
    <w:pPr>
      <w:ind w:left="832" w:hanging="360"/>
    </w:pPr>
    <w:rPr>
      <w:rFonts w:ascii="Argumentum" w:hAnsi="Argumentu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E7D"/>
    <w:rPr>
      <w:rFonts w:ascii="Argumentum" w:eastAsia="Times New Roman" w:hAnsi="Argumentum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167</Words>
  <Characters>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Guidelines</dc:title>
  <dc:subject/>
  <dc:creator>Vic Hamre</dc:creator>
  <cp:keywords/>
  <dc:description/>
  <cp:lastModifiedBy>Dick Dearborn</cp:lastModifiedBy>
  <cp:revision>2</cp:revision>
  <dcterms:created xsi:type="dcterms:W3CDTF">2018-07-12T19:54:00Z</dcterms:created>
  <dcterms:modified xsi:type="dcterms:W3CDTF">2018-07-12T19:54:00Z</dcterms:modified>
</cp:coreProperties>
</file>